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w:t>
      </w:r>
      <w:r w:rsidR="00016FAC">
        <w:t>3</w:t>
      </w:r>
      <w:r w:rsidRPr="00685F0F">
        <w:t xml:space="preserve">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016FAC" w:rsidP="00016FAC"/>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bookmarkStart w:id="1" w:name="_GoBack"/>
                      <w:bookmarkEnd w:id="1"/>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bookmarkStart w:id="0" w:name="_GoBack"/>
      <w:bookmarkEnd w:id="0"/>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49C" w:rsidRDefault="0018349C" w:rsidP="002F4632">
      <w:r>
        <w:separator/>
      </w:r>
    </w:p>
  </w:endnote>
  <w:endnote w:type="continuationSeparator" w:id="0">
    <w:p w:rsidR="0018349C" w:rsidRDefault="0018349C"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Pr="0039502C">
      <w:rPr>
        <w:sz w:val="16"/>
        <w:szCs w:val="16"/>
      </w:rPr>
      <w:t>DAF_</w:t>
    </w:r>
    <w:r w:rsidR="0039502C" w:rsidRPr="0039502C">
      <w:rPr>
        <w:sz w:val="16"/>
        <w:szCs w:val="16"/>
      </w:rPr>
      <w:t>2023</w:t>
    </w:r>
    <w:r w:rsidR="00763E1C">
      <w:rPr>
        <w:sz w:val="16"/>
        <w:szCs w:val="16"/>
      </w:rPr>
      <w:t>5</w:t>
    </w:r>
    <w:r w:rsidRPr="0039502C">
      <w:rPr>
        <w:sz w:val="16"/>
        <w:szCs w:val="16"/>
      </w:rPr>
      <w:t>_</w:t>
    </w:r>
    <w:r w:rsidR="0039502C" w:rsidRPr="0039502C">
      <w:rPr>
        <w:sz w:val="16"/>
        <w:szCs w:val="16"/>
      </w:rPr>
      <w:t>00</w:t>
    </w:r>
    <w:r w:rsidR="00763E1C">
      <w:rPr>
        <w:sz w:val="16"/>
        <w:szCs w:val="16"/>
      </w:rPr>
      <w:t>xxxx</w:t>
    </w:r>
    <w:r w:rsidRPr="0039502C">
      <w:rPr>
        <w:sz w:val="16"/>
        <w:szCs w:val="16"/>
      </w:rPr>
      <w:t xml:space="preserve"> (ESID-</w:t>
    </w:r>
    <w:r w:rsidR="00763E1C">
      <w:rPr>
        <w:sz w:val="16"/>
        <w:szCs w:val="16"/>
      </w:rPr>
      <w:t>25 260</w:t>
    </w:r>
    <w:r w:rsidRPr="0039502C">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763E1C">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763E1C">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49C" w:rsidRDefault="0018349C" w:rsidP="002F4632">
      <w:r>
        <w:separator/>
      </w:r>
    </w:p>
  </w:footnote>
  <w:footnote w:type="continuationSeparator" w:id="0">
    <w:p w:rsidR="0018349C" w:rsidRDefault="0018349C"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26A00"/>
    <w:rsid w:val="000532EF"/>
    <w:rsid w:val="000D0656"/>
    <w:rsid w:val="000D7724"/>
    <w:rsid w:val="000F26C2"/>
    <w:rsid w:val="00120D79"/>
    <w:rsid w:val="001755E0"/>
    <w:rsid w:val="0018349C"/>
    <w:rsid w:val="001E6658"/>
    <w:rsid w:val="002B6362"/>
    <w:rsid w:val="002F4632"/>
    <w:rsid w:val="00317490"/>
    <w:rsid w:val="00372F09"/>
    <w:rsid w:val="0039502C"/>
    <w:rsid w:val="003A41B3"/>
    <w:rsid w:val="003C297C"/>
    <w:rsid w:val="003D74F9"/>
    <w:rsid w:val="0041451B"/>
    <w:rsid w:val="0050292E"/>
    <w:rsid w:val="005220EA"/>
    <w:rsid w:val="005806A7"/>
    <w:rsid w:val="0058182A"/>
    <w:rsid w:val="00685F0F"/>
    <w:rsid w:val="00741570"/>
    <w:rsid w:val="00763E1C"/>
    <w:rsid w:val="008307B5"/>
    <w:rsid w:val="008A31FD"/>
    <w:rsid w:val="00983B20"/>
    <w:rsid w:val="009C6BD5"/>
    <w:rsid w:val="00A8516F"/>
    <w:rsid w:val="00A87C78"/>
    <w:rsid w:val="00AB72FF"/>
    <w:rsid w:val="00B57A82"/>
    <w:rsid w:val="00B84C56"/>
    <w:rsid w:val="00BA57E9"/>
    <w:rsid w:val="00C17C8A"/>
    <w:rsid w:val="00C465E2"/>
    <w:rsid w:val="00C622A5"/>
    <w:rsid w:val="00D3249A"/>
    <w:rsid w:val="00D85750"/>
    <w:rsid w:val="00D9558F"/>
    <w:rsid w:val="00DB3237"/>
    <w:rsid w:val="00DC362E"/>
    <w:rsid w:val="00E126BB"/>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3E8E0"/>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6</cp:revision>
  <cp:lastPrinted>2016-06-14T08:32:00Z</cp:lastPrinted>
  <dcterms:created xsi:type="dcterms:W3CDTF">2025-01-13T08:24:00Z</dcterms:created>
  <dcterms:modified xsi:type="dcterms:W3CDTF">2025-07-28T12:39:00Z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